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361"/>
        <w:gridCol w:w="19"/>
        <w:gridCol w:w="2380"/>
        <w:gridCol w:w="2381"/>
      </w:tblGrid>
      <w:tr w:rsidR="00BC1777" w14:paraId="6C398E8F" w14:textId="77777777" w:rsidTr="007D6BAD">
        <w:tc>
          <w:tcPr>
            <w:tcW w:w="1875" w:type="dxa"/>
          </w:tcPr>
          <w:p w14:paraId="3C9D5B29" w14:textId="77777777" w:rsidR="00BC1777" w:rsidRPr="003C361A" w:rsidRDefault="00BC1777" w:rsidP="00AD76D9">
            <w:pPr>
              <w:rPr>
                <w:b/>
              </w:rPr>
            </w:pPr>
            <w:r w:rsidRPr="003C361A">
              <w:rPr>
                <w:b/>
              </w:rPr>
              <w:t>Employee Name:</w:t>
            </w:r>
          </w:p>
        </w:tc>
        <w:tc>
          <w:tcPr>
            <w:tcW w:w="2380" w:type="dxa"/>
            <w:gridSpan w:val="2"/>
          </w:tcPr>
          <w:p w14:paraId="573C39D1" w14:textId="77777777" w:rsidR="00BC1777" w:rsidRPr="003C361A" w:rsidRDefault="00BC1777" w:rsidP="00AD76D9">
            <w:pPr>
              <w:rPr>
                <w:b/>
              </w:rPr>
            </w:pPr>
          </w:p>
        </w:tc>
        <w:tc>
          <w:tcPr>
            <w:tcW w:w="2380" w:type="dxa"/>
          </w:tcPr>
          <w:p w14:paraId="3C82F85E" w14:textId="0ED5DFE8" w:rsidR="00BC1777" w:rsidRPr="003C361A" w:rsidRDefault="00BC1777" w:rsidP="00AD76D9">
            <w:pPr>
              <w:rPr>
                <w:b/>
              </w:rPr>
            </w:pPr>
            <w:r w:rsidRPr="003C361A">
              <w:rPr>
                <w:b/>
              </w:rPr>
              <w:t>Pay Number:</w:t>
            </w:r>
          </w:p>
        </w:tc>
        <w:tc>
          <w:tcPr>
            <w:tcW w:w="2381" w:type="dxa"/>
          </w:tcPr>
          <w:p w14:paraId="7BBF129A" w14:textId="2562B811" w:rsidR="00BC1777" w:rsidRPr="003C361A" w:rsidRDefault="00BC1777" w:rsidP="00AD76D9">
            <w:pPr>
              <w:rPr>
                <w:b/>
              </w:rPr>
            </w:pPr>
          </w:p>
        </w:tc>
      </w:tr>
      <w:tr w:rsidR="00960DA0" w14:paraId="27CB5AFB" w14:textId="77777777" w:rsidTr="00BC1777">
        <w:tc>
          <w:tcPr>
            <w:tcW w:w="1875" w:type="dxa"/>
          </w:tcPr>
          <w:p w14:paraId="771F0473" w14:textId="079E45D4" w:rsidR="00960DA0" w:rsidRPr="003C361A" w:rsidRDefault="00960DA0" w:rsidP="00AD76D9">
            <w:pPr>
              <w:rPr>
                <w:b/>
              </w:rPr>
            </w:pPr>
            <w:r>
              <w:rPr>
                <w:b/>
              </w:rPr>
              <w:t>Dep</w:t>
            </w:r>
            <w:r w:rsidR="00BC1777">
              <w:rPr>
                <w:b/>
              </w:rPr>
              <w:t>artmen</w:t>
            </w:r>
            <w:r>
              <w:rPr>
                <w:b/>
              </w:rPr>
              <w:t>t</w:t>
            </w:r>
            <w:r w:rsidR="00BC1777">
              <w:rPr>
                <w:b/>
              </w:rPr>
              <w:t>:</w:t>
            </w:r>
          </w:p>
        </w:tc>
        <w:tc>
          <w:tcPr>
            <w:tcW w:w="2361" w:type="dxa"/>
          </w:tcPr>
          <w:p w14:paraId="7BFA9D65" w14:textId="77777777" w:rsidR="00960DA0" w:rsidRPr="003C361A" w:rsidRDefault="00960DA0" w:rsidP="00AD76D9">
            <w:pPr>
              <w:rPr>
                <w:b/>
              </w:rPr>
            </w:pPr>
          </w:p>
        </w:tc>
        <w:tc>
          <w:tcPr>
            <w:tcW w:w="2399" w:type="dxa"/>
            <w:gridSpan w:val="2"/>
          </w:tcPr>
          <w:p w14:paraId="58752201" w14:textId="28EFB3EA" w:rsidR="00960DA0" w:rsidRPr="003C361A" w:rsidRDefault="00BC1777" w:rsidP="00AD76D9">
            <w:pPr>
              <w:rPr>
                <w:b/>
              </w:rPr>
            </w:pPr>
            <w:r w:rsidRPr="003C361A">
              <w:rPr>
                <w:b/>
              </w:rPr>
              <w:t>Date/Time Employee Reported unfit for work:</w:t>
            </w:r>
          </w:p>
        </w:tc>
        <w:tc>
          <w:tcPr>
            <w:tcW w:w="2381" w:type="dxa"/>
          </w:tcPr>
          <w:p w14:paraId="20A65303" w14:textId="77777777" w:rsidR="00960DA0" w:rsidRDefault="00960DA0" w:rsidP="00AD76D9"/>
        </w:tc>
      </w:tr>
    </w:tbl>
    <w:p w14:paraId="2A9AE871" w14:textId="77777777" w:rsidR="00960DA0" w:rsidRDefault="00960DA0" w:rsidP="00960DA0">
      <w:pPr>
        <w:jc w:val="both"/>
        <w:outlineLvl w:val="0"/>
        <w:rPr>
          <w:b/>
        </w:rPr>
      </w:pPr>
      <w:r>
        <w:rPr>
          <w:b/>
        </w:rPr>
        <w:t xml:space="preserve">Reminder </w:t>
      </w:r>
      <w:r w:rsidRPr="00E31992">
        <w:rPr>
          <w:b/>
        </w:rPr>
        <w:t>Checklist for Managers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170"/>
      </w:tblGrid>
      <w:tr w:rsidR="00960DA0" w14:paraId="17A3BA00" w14:textId="77777777" w:rsidTr="00FF736A">
        <w:tc>
          <w:tcPr>
            <w:tcW w:w="846" w:type="dxa"/>
          </w:tcPr>
          <w:p w14:paraId="13D410D1" w14:textId="77777777" w:rsidR="00960DA0" w:rsidRPr="003C361A" w:rsidRDefault="00960DA0" w:rsidP="00AD76D9">
            <w:pPr>
              <w:rPr>
                <w:b/>
              </w:rPr>
            </w:pPr>
            <w:r w:rsidRPr="003C361A">
              <w:rPr>
                <w:b/>
              </w:rPr>
              <w:t>Date</w:t>
            </w:r>
          </w:p>
        </w:tc>
        <w:tc>
          <w:tcPr>
            <w:tcW w:w="8170" w:type="dxa"/>
          </w:tcPr>
          <w:p w14:paraId="4995ECA1" w14:textId="77777777" w:rsidR="00960DA0" w:rsidRPr="003C361A" w:rsidRDefault="00960DA0" w:rsidP="00AD76D9">
            <w:pPr>
              <w:rPr>
                <w:b/>
              </w:rPr>
            </w:pPr>
            <w:r w:rsidRPr="003C361A">
              <w:rPr>
                <w:b/>
              </w:rPr>
              <w:t>Action</w:t>
            </w:r>
          </w:p>
        </w:tc>
      </w:tr>
      <w:tr w:rsidR="00960DA0" w14:paraId="0BA8C554" w14:textId="77777777" w:rsidTr="00FF736A">
        <w:tc>
          <w:tcPr>
            <w:tcW w:w="846" w:type="dxa"/>
          </w:tcPr>
          <w:p w14:paraId="7F235FD9" w14:textId="77777777" w:rsidR="00960DA0" w:rsidRDefault="00960DA0" w:rsidP="00AD76D9"/>
        </w:tc>
        <w:tc>
          <w:tcPr>
            <w:tcW w:w="8170" w:type="dxa"/>
          </w:tcPr>
          <w:p w14:paraId="0B20FD79" w14:textId="77777777" w:rsidR="00960DA0" w:rsidRPr="00FF736A" w:rsidRDefault="00960DA0" w:rsidP="00960DA0">
            <w:pPr>
              <w:ind w:left="1260" w:hanging="1260"/>
              <w:rPr>
                <w:rFonts w:cstheme="minorHAnsi"/>
              </w:rPr>
            </w:pPr>
            <w:r w:rsidRPr="00FF736A">
              <w:rPr>
                <w:rFonts w:cstheme="minorHAnsi"/>
              </w:rPr>
              <w:t xml:space="preserve">Notify EASY of absence on day one* (e-referral on firstport or telephone </w:t>
            </w:r>
            <w:r w:rsidRPr="00FF736A">
              <w:rPr>
                <w:rFonts w:cstheme="minorHAnsi"/>
                <w:color w:val="444444"/>
                <w:lang w:val="en-US"/>
              </w:rPr>
              <w:t>0800 542 3001)</w:t>
            </w:r>
          </w:p>
        </w:tc>
      </w:tr>
      <w:tr w:rsidR="00960DA0" w14:paraId="3E297E6C" w14:textId="77777777" w:rsidTr="00FF736A">
        <w:tc>
          <w:tcPr>
            <w:tcW w:w="846" w:type="dxa"/>
          </w:tcPr>
          <w:p w14:paraId="64A6EE19" w14:textId="77777777" w:rsidR="00960DA0" w:rsidRDefault="00960DA0" w:rsidP="00AD76D9"/>
        </w:tc>
        <w:tc>
          <w:tcPr>
            <w:tcW w:w="8170" w:type="dxa"/>
          </w:tcPr>
          <w:p w14:paraId="730912F7" w14:textId="77777777" w:rsidR="00960DA0" w:rsidRDefault="00960DA0" w:rsidP="00960DA0">
            <w:r>
              <w:t>Create and maintain a record of the staff member’s absence in their personal record</w:t>
            </w:r>
          </w:p>
        </w:tc>
      </w:tr>
      <w:tr w:rsidR="00960DA0" w14:paraId="0927DF4D" w14:textId="77777777" w:rsidTr="00FF736A">
        <w:tc>
          <w:tcPr>
            <w:tcW w:w="846" w:type="dxa"/>
          </w:tcPr>
          <w:p w14:paraId="58E3D644" w14:textId="77777777" w:rsidR="00960DA0" w:rsidRDefault="00960DA0" w:rsidP="00AD76D9"/>
        </w:tc>
        <w:tc>
          <w:tcPr>
            <w:tcW w:w="8170" w:type="dxa"/>
          </w:tcPr>
          <w:p w14:paraId="379FD129" w14:textId="77777777" w:rsidR="00960DA0" w:rsidRDefault="00960DA0" w:rsidP="00AD76D9">
            <w:r>
              <w:t>Record absence on SSTS – timeously to ensure staff paid appropriately</w:t>
            </w:r>
          </w:p>
        </w:tc>
      </w:tr>
      <w:tr w:rsidR="00960DA0" w14:paraId="2C97B49D" w14:textId="77777777" w:rsidTr="00FF736A">
        <w:tc>
          <w:tcPr>
            <w:tcW w:w="846" w:type="dxa"/>
          </w:tcPr>
          <w:p w14:paraId="59AE3270" w14:textId="77777777" w:rsidR="00960DA0" w:rsidRDefault="00960DA0" w:rsidP="00AD76D9"/>
        </w:tc>
        <w:tc>
          <w:tcPr>
            <w:tcW w:w="8170" w:type="dxa"/>
          </w:tcPr>
          <w:p w14:paraId="0AD1C5A3" w14:textId="77777777" w:rsidR="00960DA0" w:rsidRDefault="00960DA0" w:rsidP="00AD76D9">
            <w:r>
              <w:t>Ensure contact arrangements are agreed and maintain contact with employee throughout absence (dual responsibility)</w:t>
            </w:r>
          </w:p>
        </w:tc>
      </w:tr>
      <w:tr w:rsidR="00960DA0" w14:paraId="797933F6" w14:textId="77777777" w:rsidTr="00FF736A">
        <w:tc>
          <w:tcPr>
            <w:tcW w:w="846" w:type="dxa"/>
          </w:tcPr>
          <w:p w14:paraId="52F8BFEE" w14:textId="77777777" w:rsidR="00960DA0" w:rsidRDefault="00960DA0" w:rsidP="00AD76D9"/>
        </w:tc>
        <w:tc>
          <w:tcPr>
            <w:tcW w:w="8170" w:type="dxa"/>
          </w:tcPr>
          <w:p w14:paraId="2BE7DF95" w14:textId="77777777" w:rsidR="00960DA0" w:rsidRDefault="00960DA0" w:rsidP="00AD76D9">
            <w:r>
              <w:t>Remind employee if Fit Notes are required - Advise staff that failure to submit timeously may result in withholding pay</w:t>
            </w:r>
          </w:p>
        </w:tc>
      </w:tr>
      <w:tr w:rsidR="00960DA0" w14:paraId="6427384B" w14:textId="77777777" w:rsidTr="00FF736A">
        <w:tc>
          <w:tcPr>
            <w:tcW w:w="846" w:type="dxa"/>
          </w:tcPr>
          <w:p w14:paraId="39CB6698" w14:textId="77777777" w:rsidR="00960DA0" w:rsidRDefault="00960DA0" w:rsidP="00AD76D9"/>
        </w:tc>
        <w:tc>
          <w:tcPr>
            <w:tcW w:w="8170" w:type="dxa"/>
          </w:tcPr>
          <w:p w14:paraId="4B2BA35E" w14:textId="77777777" w:rsidR="00960DA0" w:rsidRPr="00FF736A" w:rsidRDefault="00960DA0" w:rsidP="00AD76D9">
            <w:pPr>
              <w:rPr>
                <w:rFonts w:cstheme="minorHAnsi"/>
              </w:rPr>
            </w:pPr>
            <w:r w:rsidRPr="00FF736A">
              <w:rPr>
                <w:rFonts w:cstheme="minorHAnsi"/>
              </w:rPr>
              <w:t>Remind employee of reporting in procedure (if required) – Advise staff that failure to comply may result in withholding pay</w:t>
            </w:r>
          </w:p>
        </w:tc>
      </w:tr>
      <w:tr w:rsidR="00960DA0" w14:paraId="59CA0561" w14:textId="77777777" w:rsidTr="00FF736A">
        <w:tc>
          <w:tcPr>
            <w:tcW w:w="846" w:type="dxa"/>
          </w:tcPr>
          <w:p w14:paraId="4FA78BB5" w14:textId="77777777" w:rsidR="00960DA0" w:rsidRDefault="00960DA0" w:rsidP="00AD76D9"/>
        </w:tc>
        <w:tc>
          <w:tcPr>
            <w:tcW w:w="8170" w:type="dxa"/>
          </w:tcPr>
          <w:p w14:paraId="69A77F42" w14:textId="77777777" w:rsidR="00960DA0" w:rsidRPr="00FF736A" w:rsidRDefault="00960DA0" w:rsidP="000673C2">
            <w:pPr>
              <w:rPr>
                <w:rFonts w:cstheme="minorHAnsi"/>
              </w:rPr>
            </w:pPr>
            <w:r w:rsidRPr="00FF736A">
              <w:rPr>
                <w:rFonts w:cstheme="minorHAnsi"/>
              </w:rPr>
              <w:t>Refer to SALUS as appropriate</w:t>
            </w:r>
            <w:r w:rsidR="00A23B97">
              <w:rPr>
                <w:rFonts w:cstheme="minorHAnsi"/>
              </w:rPr>
              <w:t>**</w:t>
            </w:r>
          </w:p>
        </w:tc>
      </w:tr>
      <w:tr w:rsidR="00960DA0" w14:paraId="307DCAA2" w14:textId="77777777" w:rsidTr="00FF736A">
        <w:tc>
          <w:tcPr>
            <w:tcW w:w="846" w:type="dxa"/>
          </w:tcPr>
          <w:p w14:paraId="363D447D" w14:textId="77777777" w:rsidR="00960DA0" w:rsidRDefault="00960DA0" w:rsidP="00AD76D9"/>
        </w:tc>
        <w:tc>
          <w:tcPr>
            <w:tcW w:w="8170" w:type="dxa"/>
          </w:tcPr>
          <w:p w14:paraId="6779389D" w14:textId="54B448D7" w:rsidR="00960DA0" w:rsidRPr="00FF736A" w:rsidRDefault="00960DA0" w:rsidP="000673C2">
            <w:pPr>
              <w:rPr>
                <w:rFonts w:cstheme="minorHAnsi"/>
              </w:rPr>
            </w:pPr>
            <w:r w:rsidRPr="00FF736A">
              <w:rPr>
                <w:rFonts w:cstheme="minorHAnsi"/>
              </w:rPr>
              <w:t xml:space="preserve">Advise of </w:t>
            </w:r>
            <w:r w:rsidR="000673C2">
              <w:rPr>
                <w:rFonts w:cstheme="minorHAnsi"/>
              </w:rPr>
              <w:t>supports available such as T</w:t>
            </w:r>
            <w:r w:rsidR="00FF736A" w:rsidRPr="00FF736A">
              <w:rPr>
                <w:rFonts w:cstheme="minorHAnsi"/>
                <w:color w:val="444444"/>
                <w:bdr w:val="none" w:sz="0" w:space="0" w:color="auto" w:frame="1"/>
              </w:rPr>
              <w:t>he Talking Rooms counselling service (0800 138 9150) </w:t>
            </w:r>
            <w:hyperlink r:id="rId7" w:history="1">
              <w:r w:rsidR="00FF736A" w:rsidRPr="00FF736A">
                <w:rPr>
                  <w:rStyle w:val="Hyperlink"/>
                  <w:rFonts w:cstheme="minorHAnsi"/>
                  <w:color w:val="0072C6"/>
                  <w:bdr w:val="none" w:sz="0" w:space="0" w:color="auto" w:frame="1"/>
                </w:rPr>
                <w:t>https://www.thetalkingrooms.com/self-referral/</w:t>
              </w:r>
            </w:hyperlink>
          </w:p>
        </w:tc>
      </w:tr>
      <w:tr w:rsidR="00960DA0" w14:paraId="6F571807" w14:textId="77777777" w:rsidTr="00FF736A">
        <w:tc>
          <w:tcPr>
            <w:tcW w:w="846" w:type="dxa"/>
          </w:tcPr>
          <w:p w14:paraId="64D37C65" w14:textId="77777777" w:rsidR="00960DA0" w:rsidRDefault="00960DA0" w:rsidP="00AD76D9"/>
        </w:tc>
        <w:tc>
          <w:tcPr>
            <w:tcW w:w="8170" w:type="dxa"/>
          </w:tcPr>
          <w:p w14:paraId="20581CD7" w14:textId="77777777" w:rsidR="00960DA0" w:rsidRPr="00FF736A" w:rsidRDefault="00960DA0" w:rsidP="00FF736A">
            <w:pPr>
              <w:pStyle w:val="Default"/>
              <w:rPr>
                <w:rFonts w:asciiTheme="minorHAnsi" w:hAnsiTheme="minorHAnsi" w:cstheme="minorHAnsi"/>
                <w:sz w:val="22"/>
                <w:szCs w:val="22"/>
              </w:rPr>
            </w:pPr>
            <w:r w:rsidRPr="00FF736A">
              <w:rPr>
                <w:rFonts w:asciiTheme="minorHAnsi" w:hAnsiTheme="minorHAnsi" w:cstheme="minorHAnsi"/>
                <w:sz w:val="22"/>
                <w:szCs w:val="22"/>
              </w:rPr>
              <w:t>If staff member absent on long term sick (29+ days), make arrangements for them to be invited to a meeting with appropriate manager</w:t>
            </w:r>
          </w:p>
        </w:tc>
      </w:tr>
      <w:tr w:rsidR="000673C2" w14:paraId="651941AC" w14:textId="77777777" w:rsidTr="00FF736A">
        <w:tc>
          <w:tcPr>
            <w:tcW w:w="846" w:type="dxa"/>
          </w:tcPr>
          <w:p w14:paraId="76EB66D5" w14:textId="77777777" w:rsidR="000673C2" w:rsidRDefault="000673C2" w:rsidP="00AD76D9"/>
        </w:tc>
        <w:tc>
          <w:tcPr>
            <w:tcW w:w="8170" w:type="dxa"/>
          </w:tcPr>
          <w:p w14:paraId="3FD4E31A" w14:textId="0224DF00" w:rsidR="000673C2" w:rsidRPr="00FF736A" w:rsidRDefault="000673C2" w:rsidP="00FF736A">
            <w:pPr>
              <w:pStyle w:val="Default"/>
              <w:rPr>
                <w:rFonts w:asciiTheme="minorHAnsi" w:hAnsiTheme="minorHAnsi" w:cstheme="minorHAnsi"/>
                <w:sz w:val="22"/>
                <w:szCs w:val="22"/>
              </w:rPr>
            </w:pPr>
            <w:r>
              <w:rPr>
                <w:rFonts w:asciiTheme="minorHAnsi" w:hAnsiTheme="minorHAnsi" w:cstheme="minorHAnsi"/>
                <w:sz w:val="22"/>
                <w:szCs w:val="22"/>
              </w:rPr>
              <w:t>If staff member’s absence continues with no date to return, or does not return as anticipated, liaise with designated HR contact for absence support***</w:t>
            </w:r>
          </w:p>
        </w:tc>
      </w:tr>
      <w:tr w:rsidR="00960DA0" w14:paraId="0CE5FACE" w14:textId="77777777" w:rsidTr="00FF736A">
        <w:tc>
          <w:tcPr>
            <w:tcW w:w="846" w:type="dxa"/>
          </w:tcPr>
          <w:p w14:paraId="7B41C006" w14:textId="77777777" w:rsidR="00960DA0" w:rsidRDefault="00960DA0" w:rsidP="00AD76D9"/>
        </w:tc>
        <w:tc>
          <w:tcPr>
            <w:tcW w:w="8170" w:type="dxa"/>
          </w:tcPr>
          <w:p w14:paraId="24708D35" w14:textId="77777777" w:rsidR="00960DA0" w:rsidRPr="00FF736A" w:rsidRDefault="00960DA0" w:rsidP="00FF736A">
            <w:pPr>
              <w:rPr>
                <w:rFonts w:cstheme="minorHAnsi"/>
              </w:rPr>
            </w:pPr>
            <w:r w:rsidRPr="00FF736A">
              <w:rPr>
                <w:rFonts w:cstheme="minorHAnsi"/>
              </w:rPr>
              <w:t>Notify EASY of the member of staff’s return to work</w:t>
            </w:r>
          </w:p>
        </w:tc>
      </w:tr>
      <w:tr w:rsidR="00960DA0" w14:paraId="30AF3701" w14:textId="77777777" w:rsidTr="00FF736A">
        <w:tc>
          <w:tcPr>
            <w:tcW w:w="846" w:type="dxa"/>
          </w:tcPr>
          <w:p w14:paraId="6DD36E6D" w14:textId="77777777" w:rsidR="00960DA0" w:rsidRDefault="00960DA0" w:rsidP="00AD76D9"/>
        </w:tc>
        <w:tc>
          <w:tcPr>
            <w:tcW w:w="8170" w:type="dxa"/>
          </w:tcPr>
          <w:p w14:paraId="63403146" w14:textId="1880462D" w:rsidR="00960DA0" w:rsidRPr="00FF736A" w:rsidRDefault="00960DA0" w:rsidP="000673C2">
            <w:pPr>
              <w:rPr>
                <w:rFonts w:cstheme="minorHAnsi"/>
              </w:rPr>
            </w:pPr>
            <w:r w:rsidRPr="00FF736A">
              <w:rPr>
                <w:rFonts w:cstheme="minorHAnsi"/>
              </w:rPr>
              <w:t>Conduct Return to Work Interview and complete form recording discussion</w:t>
            </w:r>
            <w:r w:rsidR="000673C2">
              <w:rPr>
                <w:rFonts w:cstheme="minorHAnsi"/>
              </w:rPr>
              <w:t xml:space="preserve"> (either </w:t>
            </w:r>
            <w:hyperlink r:id="rId8" w:history="1">
              <w:r w:rsidR="000673C2" w:rsidRPr="00807413">
                <w:rPr>
                  <w:rStyle w:val="Hyperlink"/>
                  <w:rFonts w:cstheme="minorHAnsi"/>
                </w:rPr>
                <w:t>paper copy</w:t>
              </w:r>
            </w:hyperlink>
            <w:r w:rsidR="000673C2">
              <w:rPr>
                <w:rFonts w:cstheme="minorHAnsi"/>
              </w:rPr>
              <w:t xml:space="preserve"> or via EESS)</w:t>
            </w:r>
          </w:p>
        </w:tc>
      </w:tr>
      <w:tr w:rsidR="00960DA0" w14:paraId="77542BA3" w14:textId="77777777" w:rsidTr="00FF736A">
        <w:tc>
          <w:tcPr>
            <w:tcW w:w="846" w:type="dxa"/>
          </w:tcPr>
          <w:p w14:paraId="4CDDDC68" w14:textId="77777777" w:rsidR="00960DA0" w:rsidRDefault="00960DA0" w:rsidP="00AD76D9"/>
        </w:tc>
        <w:tc>
          <w:tcPr>
            <w:tcW w:w="8170" w:type="dxa"/>
          </w:tcPr>
          <w:p w14:paraId="765D60B6" w14:textId="77777777" w:rsidR="00960DA0" w:rsidRPr="00FF736A" w:rsidRDefault="00960DA0" w:rsidP="00161711">
            <w:pPr>
              <w:rPr>
                <w:rFonts w:cstheme="minorHAnsi"/>
              </w:rPr>
            </w:pPr>
            <w:r w:rsidRPr="00FF736A">
              <w:rPr>
                <w:rFonts w:cstheme="minorHAnsi"/>
              </w:rPr>
              <w:t>Provide copy of Reporting in Procedure for the Department were there has been failure to comply, ensure copy signed and retained in personal file</w:t>
            </w:r>
          </w:p>
        </w:tc>
      </w:tr>
      <w:tr w:rsidR="00960DA0" w14:paraId="1D11FD54" w14:textId="77777777" w:rsidTr="00FF736A">
        <w:tc>
          <w:tcPr>
            <w:tcW w:w="846" w:type="dxa"/>
          </w:tcPr>
          <w:p w14:paraId="731B006D" w14:textId="77777777" w:rsidR="00960DA0" w:rsidRDefault="00960DA0" w:rsidP="00AD76D9"/>
        </w:tc>
        <w:tc>
          <w:tcPr>
            <w:tcW w:w="8170" w:type="dxa"/>
          </w:tcPr>
          <w:p w14:paraId="6DEC4B4F" w14:textId="77777777" w:rsidR="00960DA0" w:rsidRPr="00FF736A" w:rsidRDefault="00161711" w:rsidP="00FF736A">
            <w:pPr>
              <w:rPr>
                <w:rFonts w:cstheme="minorHAnsi"/>
              </w:rPr>
            </w:pPr>
            <w:r w:rsidRPr="00FF736A">
              <w:rPr>
                <w:rFonts w:cstheme="minorHAnsi"/>
              </w:rPr>
              <w:t xml:space="preserve">Arrange </w:t>
            </w:r>
            <w:r w:rsidR="00FF736A" w:rsidRPr="00FF736A">
              <w:rPr>
                <w:rFonts w:cstheme="minorHAnsi"/>
              </w:rPr>
              <w:t xml:space="preserve">any follow up required e.g. review of any support measures, referral to OH, formal stage meeting </w:t>
            </w:r>
          </w:p>
        </w:tc>
      </w:tr>
    </w:tbl>
    <w:p w14:paraId="13577DFB" w14:textId="77777777" w:rsidR="00960DA0" w:rsidRDefault="00960DA0" w:rsidP="00960DA0">
      <w:pPr>
        <w:jc w:val="both"/>
      </w:pPr>
      <w:r>
        <w:t>*EASY referral should be made if the staff member is absence with a mental health related absence. Contact will be made by the EASY Service at day 1, 10, 20 and 30.</w:t>
      </w:r>
    </w:p>
    <w:p w14:paraId="1E88C87F" w14:textId="7D672D0B" w:rsidR="00960DA0" w:rsidRDefault="00960DA0" w:rsidP="00FF736A">
      <w:pPr>
        <w:jc w:val="both"/>
      </w:pPr>
      <w:r>
        <w:lastRenderedPageBreak/>
        <w:t xml:space="preserve">** Salus Referrals should be made for any staff member who is absent for more than 29 calendar days and for whom there is no planned date of return.  Earlier referrals should be made for any work related injury or for absences related to stress/anxiety/depression. </w:t>
      </w:r>
      <w:r w:rsidR="00FF736A">
        <w:t>Referral can also be made if OH guidance is required relating to any absence or absence pattern.</w:t>
      </w:r>
    </w:p>
    <w:p w14:paraId="39C30C77" w14:textId="5436CDA4" w:rsidR="000673C2" w:rsidRDefault="00BC1777" w:rsidP="00FF736A">
      <w:pPr>
        <w:jc w:val="both"/>
      </w:pPr>
      <w:r>
        <w:t>*</w:t>
      </w:r>
      <w:r w:rsidR="000673C2">
        <w:t>** A list of HR contacts for attendance management support can be found with</w:t>
      </w:r>
      <w:bookmarkStart w:id="0" w:name="_GoBack"/>
      <w:bookmarkEnd w:id="0"/>
      <w:r w:rsidR="000673C2">
        <w:t>in the Attendance Section of the HR page on Firstport.</w:t>
      </w:r>
    </w:p>
    <w:sectPr w:rsidR="000673C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625D1" w14:textId="77777777" w:rsidR="00BC1777" w:rsidRDefault="00BC1777" w:rsidP="00BC1777">
      <w:pPr>
        <w:spacing w:after="0" w:line="240" w:lineRule="auto"/>
      </w:pPr>
      <w:r>
        <w:separator/>
      </w:r>
    </w:p>
  </w:endnote>
  <w:endnote w:type="continuationSeparator" w:id="0">
    <w:p w14:paraId="188E736E" w14:textId="77777777" w:rsidR="00BC1777" w:rsidRDefault="00BC1777" w:rsidP="00BC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Klavika">
    <w:altName w:val="Klavik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BF9A" w14:textId="7CF02544" w:rsidR="00BC1777" w:rsidRDefault="00BC1777" w:rsidP="00BC1777">
    <w:pPr>
      <w:pStyle w:val="Footer"/>
      <w:jc w:val="right"/>
    </w:pPr>
    <w:r>
      <w:t>Manager Checklist for Staff Absence – version 1</w:t>
    </w:r>
  </w:p>
  <w:p w14:paraId="23D2AA4D" w14:textId="12E98DF3" w:rsidR="00BC1777" w:rsidRDefault="00BC1777" w:rsidP="00BC1777">
    <w:pPr>
      <w:pStyle w:val="Footer"/>
      <w:jc w:val="right"/>
    </w:pPr>
    <w:r>
      <w:t>June 2023</w:t>
    </w:r>
  </w:p>
  <w:p w14:paraId="532C3ED2" w14:textId="77777777" w:rsidR="00BC1777" w:rsidRDefault="00BC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8474A" w14:textId="77777777" w:rsidR="00BC1777" w:rsidRDefault="00BC1777" w:rsidP="00BC1777">
      <w:pPr>
        <w:spacing w:after="0" w:line="240" w:lineRule="auto"/>
      </w:pPr>
      <w:r>
        <w:separator/>
      </w:r>
    </w:p>
  </w:footnote>
  <w:footnote w:type="continuationSeparator" w:id="0">
    <w:p w14:paraId="17B68DC2" w14:textId="77777777" w:rsidR="00BC1777" w:rsidRDefault="00BC1777" w:rsidP="00BC1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5CDB" w14:textId="1CB97DF1" w:rsidR="00BC1777" w:rsidRDefault="00BC1777">
    <w:pPr>
      <w:pStyle w:val="Header"/>
    </w:pPr>
    <w:r w:rsidRPr="00BC1777">
      <w:rPr>
        <w:b/>
      </w:rPr>
      <w:t>Manager’s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A0"/>
    <w:rsid w:val="000673C2"/>
    <w:rsid w:val="00077CD2"/>
    <w:rsid w:val="00161711"/>
    <w:rsid w:val="003559FF"/>
    <w:rsid w:val="005C4C84"/>
    <w:rsid w:val="00807413"/>
    <w:rsid w:val="00960DA0"/>
    <w:rsid w:val="00A23B97"/>
    <w:rsid w:val="00BC1777"/>
    <w:rsid w:val="00FF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9336"/>
  <w15:chartTrackingRefBased/>
  <w15:docId w15:val="{636AA100-8F3A-444E-A4C3-E46F0D1E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DA0"/>
    <w:pPr>
      <w:autoSpaceDE w:val="0"/>
      <w:autoSpaceDN w:val="0"/>
      <w:adjustRightInd w:val="0"/>
      <w:spacing w:after="0" w:line="240" w:lineRule="auto"/>
    </w:pPr>
    <w:rPr>
      <w:rFonts w:ascii="Klavika" w:eastAsia="Times New Roman" w:hAnsi="Klavika" w:cs="Klavika"/>
      <w:color w:val="000000"/>
      <w:sz w:val="24"/>
      <w:szCs w:val="24"/>
      <w:lang w:eastAsia="en-GB"/>
    </w:rPr>
  </w:style>
  <w:style w:type="character" w:customStyle="1" w:styleId="A9">
    <w:name w:val="A9"/>
    <w:rsid w:val="00960DA0"/>
    <w:rPr>
      <w:rFonts w:cs="Klavika"/>
      <w:b/>
      <w:bCs/>
      <w:color w:val="000000"/>
      <w:sz w:val="40"/>
      <w:szCs w:val="40"/>
    </w:rPr>
  </w:style>
  <w:style w:type="character" w:styleId="Strong">
    <w:name w:val="Strong"/>
    <w:basedOn w:val="DefaultParagraphFont"/>
    <w:uiPriority w:val="22"/>
    <w:qFormat/>
    <w:rsid w:val="00FF736A"/>
    <w:rPr>
      <w:b/>
      <w:bCs/>
    </w:rPr>
  </w:style>
  <w:style w:type="character" w:styleId="Hyperlink">
    <w:name w:val="Hyperlink"/>
    <w:basedOn w:val="DefaultParagraphFont"/>
    <w:uiPriority w:val="99"/>
    <w:unhideWhenUsed/>
    <w:rsid w:val="00FF736A"/>
    <w:rPr>
      <w:color w:val="0000FF"/>
      <w:u w:val="single"/>
    </w:rPr>
  </w:style>
  <w:style w:type="character" w:styleId="CommentReference">
    <w:name w:val="annotation reference"/>
    <w:basedOn w:val="DefaultParagraphFont"/>
    <w:uiPriority w:val="99"/>
    <w:semiHidden/>
    <w:unhideWhenUsed/>
    <w:rsid w:val="00A23B97"/>
    <w:rPr>
      <w:sz w:val="16"/>
      <w:szCs w:val="16"/>
    </w:rPr>
  </w:style>
  <w:style w:type="paragraph" w:styleId="CommentText">
    <w:name w:val="annotation text"/>
    <w:basedOn w:val="Normal"/>
    <w:link w:val="CommentTextChar"/>
    <w:uiPriority w:val="99"/>
    <w:semiHidden/>
    <w:unhideWhenUsed/>
    <w:rsid w:val="00A23B97"/>
    <w:pPr>
      <w:spacing w:line="240" w:lineRule="auto"/>
    </w:pPr>
    <w:rPr>
      <w:sz w:val="20"/>
      <w:szCs w:val="20"/>
    </w:rPr>
  </w:style>
  <w:style w:type="character" w:customStyle="1" w:styleId="CommentTextChar">
    <w:name w:val="Comment Text Char"/>
    <w:basedOn w:val="DefaultParagraphFont"/>
    <w:link w:val="CommentText"/>
    <w:uiPriority w:val="99"/>
    <w:semiHidden/>
    <w:rsid w:val="00A23B97"/>
    <w:rPr>
      <w:sz w:val="20"/>
      <w:szCs w:val="20"/>
    </w:rPr>
  </w:style>
  <w:style w:type="paragraph" w:styleId="CommentSubject">
    <w:name w:val="annotation subject"/>
    <w:basedOn w:val="CommentText"/>
    <w:next w:val="CommentText"/>
    <w:link w:val="CommentSubjectChar"/>
    <w:uiPriority w:val="99"/>
    <w:semiHidden/>
    <w:unhideWhenUsed/>
    <w:rsid w:val="00A23B97"/>
    <w:rPr>
      <w:b/>
      <w:bCs/>
    </w:rPr>
  </w:style>
  <w:style w:type="character" w:customStyle="1" w:styleId="CommentSubjectChar">
    <w:name w:val="Comment Subject Char"/>
    <w:basedOn w:val="CommentTextChar"/>
    <w:link w:val="CommentSubject"/>
    <w:uiPriority w:val="99"/>
    <w:semiHidden/>
    <w:rsid w:val="00A23B97"/>
    <w:rPr>
      <w:b/>
      <w:bCs/>
      <w:sz w:val="20"/>
      <w:szCs w:val="20"/>
    </w:rPr>
  </w:style>
  <w:style w:type="paragraph" w:styleId="BalloonText">
    <w:name w:val="Balloon Text"/>
    <w:basedOn w:val="Normal"/>
    <w:link w:val="BalloonTextChar"/>
    <w:uiPriority w:val="99"/>
    <w:semiHidden/>
    <w:unhideWhenUsed/>
    <w:rsid w:val="00A23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B97"/>
    <w:rPr>
      <w:rFonts w:ascii="Segoe UI" w:hAnsi="Segoe UI" w:cs="Segoe UI"/>
      <w:sz w:val="18"/>
      <w:szCs w:val="18"/>
    </w:rPr>
  </w:style>
  <w:style w:type="paragraph" w:styleId="Header">
    <w:name w:val="header"/>
    <w:basedOn w:val="Normal"/>
    <w:link w:val="HeaderChar"/>
    <w:uiPriority w:val="99"/>
    <w:unhideWhenUsed/>
    <w:rsid w:val="00BC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777"/>
  </w:style>
  <w:style w:type="paragraph" w:styleId="Footer">
    <w:name w:val="footer"/>
    <w:basedOn w:val="Normal"/>
    <w:link w:val="FooterChar"/>
    <w:uiPriority w:val="99"/>
    <w:unhideWhenUsed/>
    <w:rsid w:val="00BC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nhs.scot/supporting-documents/form/attendance-policy-return-to-work-for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thetalkingrooms.com/self-refer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46E977EE46E4CB129F7B1D322FEF5" ma:contentTypeVersion="1" ma:contentTypeDescription="Create a new document." ma:contentTypeScope="" ma:versionID="63051ca33c331cf1994260dad066ec7d">
  <xsd:schema xmlns:xsd="http://www.w3.org/2001/XMLSchema" xmlns:xs="http://www.w3.org/2001/XMLSchema" xmlns:p="http://schemas.microsoft.com/office/2006/metadata/properties" xmlns:ns2="c399d7cb-63e0-4b2f-9ce1-2ee919be2a37" targetNamespace="http://schemas.microsoft.com/office/2006/metadata/properties" ma:root="true" ma:fieldsID="800b55ac3098c6bfb3f09f1ec5f7a8a2" ns2:_="">
    <xsd:import namespace="c399d7cb-63e0-4b2f-9ce1-2ee919be2a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d7cb-63e0-4b2f-9ce1-2ee919be2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30496-0926-4B0D-BB95-4EC3A78A2EC0}">
  <ds:schemaRefs>
    <ds:schemaRef ds:uri="http://schemas.openxmlformats.org/officeDocument/2006/bibliography"/>
  </ds:schemaRefs>
</ds:datastoreItem>
</file>

<file path=customXml/itemProps2.xml><?xml version="1.0" encoding="utf-8"?>
<ds:datastoreItem xmlns:ds="http://schemas.openxmlformats.org/officeDocument/2006/customXml" ds:itemID="{8DE940E7-1421-4BF0-BE50-A11312D404BC}"/>
</file>

<file path=customXml/itemProps3.xml><?xml version="1.0" encoding="utf-8"?>
<ds:datastoreItem xmlns:ds="http://schemas.openxmlformats.org/officeDocument/2006/customXml" ds:itemID="{D6DD1744-EF14-4DA6-A7B8-9B923702B3C7}"/>
</file>

<file path=customXml/itemProps4.xml><?xml version="1.0" encoding="utf-8"?>
<ds:datastoreItem xmlns:ds="http://schemas.openxmlformats.org/officeDocument/2006/customXml" ds:itemID="{25463EC0-125A-4879-B42F-51ED41E5633F}"/>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Bevan</dc:creator>
  <cp:keywords/>
  <dc:description/>
  <cp:lastModifiedBy>Audrey Bevan</cp:lastModifiedBy>
  <cp:revision>2</cp:revision>
  <dcterms:created xsi:type="dcterms:W3CDTF">2023-06-28T16:21:00Z</dcterms:created>
  <dcterms:modified xsi:type="dcterms:W3CDTF">2023-06-28T16:21:00Z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0x010100C3F46E977EE46E4CB129F7B1D322FEF5</vt:lpwstr>
  </property>
</Properties>
</file>